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5BE7" w14:textId="615E1C57" w:rsidR="00B92DB1" w:rsidRPr="00B92DB1" w:rsidRDefault="00B92DB1" w:rsidP="00B92DB1">
      <w:pPr>
        <w:pStyle w:val="Style3"/>
        <w:widowControl/>
        <w:tabs>
          <w:tab w:val="left" w:pos="4962"/>
        </w:tabs>
        <w:ind w:left="10773"/>
        <w:rPr>
          <w:rFonts w:ascii="Arial" w:hAnsi="Arial" w:cs="Arial"/>
          <w:lang w:val="ru-RU"/>
        </w:rPr>
      </w:pPr>
      <w:r w:rsidRPr="00B92DB1">
        <w:rPr>
          <w:rFonts w:ascii="Arial" w:hAnsi="Arial" w:cs="Arial"/>
          <w:lang w:val="ru-RU"/>
        </w:rPr>
        <w:t>Приложение № 1</w:t>
      </w:r>
      <w:r>
        <w:rPr>
          <w:rFonts w:ascii="Arial" w:hAnsi="Arial" w:cs="Arial"/>
          <w:lang w:val="ru-RU"/>
        </w:rPr>
        <w:t>3</w:t>
      </w:r>
    </w:p>
    <w:p w14:paraId="4F3C7D04" w14:textId="77777777" w:rsidR="00B92DB1" w:rsidRPr="00B92DB1" w:rsidRDefault="00B92DB1" w:rsidP="00B92DB1">
      <w:pPr>
        <w:pStyle w:val="Style3"/>
        <w:widowControl/>
        <w:tabs>
          <w:tab w:val="left" w:pos="4962"/>
        </w:tabs>
        <w:ind w:left="10773"/>
        <w:rPr>
          <w:rFonts w:ascii="Arial" w:hAnsi="Arial" w:cs="Arial"/>
          <w:bCs/>
          <w:lang w:val="ru-RU"/>
        </w:rPr>
      </w:pPr>
      <w:r w:rsidRPr="00B92DB1">
        <w:rPr>
          <w:rFonts w:ascii="Arial" w:hAnsi="Arial" w:cs="Arial"/>
          <w:lang w:val="ru-RU"/>
        </w:rPr>
        <w:t xml:space="preserve">к Договору </w:t>
      </w:r>
      <w:r w:rsidRPr="00B92DB1">
        <w:rPr>
          <w:rFonts w:ascii="Arial" w:hAnsi="Arial" w:cs="Arial"/>
          <w:bCs/>
          <w:lang w:val="ru-RU"/>
        </w:rPr>
        <w:t xml:space="preserve">о закупке услуг </w:t>
      </w:r>
    </w:p>
    <w:p w14:paraId="5E94E2F6" w14:textId="13817322" w:rsidR="00B92DB1" w:rsidRPr="00B92DB1" w:rsidRDefault="00B92DB1" w:rsidP="00B92DB1">
      <w:pPr>
        <w:pStyle w:val="Style3"/>
        <w:widowControl/>
        <w:tabs>
          <w:tab w:val="left" w:pos="4962"/>
        </w:tabs>
        <w:ind w:left="10773"/>
        <w:rPr>
          <w:rFonts w:ascii="Arial" w:hAnsi="Arial" w:cs="Arial"/>
          <w:bCs/>
          <w:lang w:val="ru-RU"/>
        </w:rPr>
      </w:pPr>
      <w:r w:rsidRPr="00B92DB1">
        <w:rPr>
          <w:rFonts w:ascii="Arial" w:hAnsi="Arial" w:cs="Arial"/>
          <w:bCs/>
          <w:lang w:val="ru-RU"/>
        </w:rPr>
        <w:t>от «____» ___________ 202</w:t>
      </w:r>
      <w:r w:rsidR="00961102">
        <w:rPr>
          <w:rFonts w:ascii="Arial" w:hAnsi="Arial" w:cs="Arial"/>
          <w:bCs/>
          <w:lang w:val="ru-RU"/>
        </w:rPr>
        <w:t>4</w:t>
      </w:r>
      <w:r w:rsidRPr="00B92DB1">
        <w:rPr>
          <w:rFonts w:ascii="Arial" w:hAnsi="Arial" w:cs="Arial"/>
          <w:bCs/>
          <w:lang w:val="ru-RU"/>
        </w:rPr>
        <w:t xml:space="preserve"> года </w:t>
      </w:r>
    </w:p>
    <w:p w14:paraId="10D3CF69" w14:textId="77777777" w:rsidR="00B92DB1" w:rsidRPr="00B92DB1" w:rsidRDefault="00B92DB1" w:rsidP="00B92DB1">
      <w:pPr>
        <w:pStyle w:val="Style3"/>
        <w:widowControl/>
        <w:tabs>
          <w:tab w:val="left" w:pos="4962"/>
        </w:tabs>
        <w:ind w:left="10773"/>
        <w:rPr>
          <w:rFonts w:ascii="Arial" w:hAnsi="Arial" w:cs="Arial"/>
          <w:bCs/>
          <w:lang w:val="ru-RU"/>
        </w:rPr>
      </w:pPr>
      <w:r w:rsidRPr="00B92DB1">
        <w:rPr>
          <w:rFonts w:ascii="Arial" w:hAnsi="Arial" w:cs="Arial"/>
          <w:bCs/>
          <w:lang w:val="ru-RU"/>
        </w:rPr>
        <w:t>№ _______</w:t>
      </w:r>
    </w:p>
    <w:p w14:paraId="28C8B308" w14:textId="77777777" w:rsidR="00B92DB1" w:rsidRPr="00B92DB1" w:rsidRDefault="00B92DB1" w:rsidP="00B92DB1">
      <w:pPr>
        <w:tabs>
          <w:tab w:val="left" w:pos="4962"/>
        </w:tabs>
        <w:rPr>
          <w:rFonts w:ascii="Arial" w:hAnsi="Arial" w:cs="Arial"/>
        </w:rPr>
      </w:pPr>
    </w:p>
    <w:p w14:paraId="3689031D" w14:textId="77777777" w:rsidR="00B92DB1" w:rsidRPr="00B92DB1" w:rsidRDefault="00B92DB1" w:rsidP="00B92DB1">
      <w:pPr>
        <w:pStyle w:val="Default"/>
        <w:jc w:val="center"/>
        <w:rPr>
          <w:rFonts w:ascii="Arial" w:hAnsi="Arial" w:cs="Arial"/>
          <w:b/>
          <w:bCs/>
        </w:rPr>
      </w:pPr>
      <w:r w:rsidRPr="00B92DB1">
        <w:rPr>
          <w:rFonts w:ascii="Arial" w:hAnsi="Arial" w:cs="Arial"/>
          <w:b/>
          <w:bCs/>
        </w:rPr>
        <w:t>Показатели КПД необходимые для пролонгации договора</w:t>
      </w:r>
    </w:p>
    <w:p w14:paraId="414934C5" w14:textId="77777777" w:rsidR="00B92DB1" w:rsidRPr="00B92DB1" w:rsidRDefault="00B92DB1" w:rsidP="00B92DB1">
      <w:pPr>
        <w:pStyle w:val="Default"/>
        <w:rPr>
          <w:rFonts w:ascii="Arial" w:hAnsi="Arial" w:cs="Arial"/>
          <w:b/>
          <w:bCs/>
        </w:rPr>
      </w:pPr>
    </w:p>
    <w:tbl>
      <w:tblPr>
        <w:tblStyle w:val="affc"/>
        <w:tblpPr w:leftFromText="180" w:rightFromText="180" w:vertAnchor="text" w:tblpXSpec="center" w:tblpY="1"/>
        <w:tblOverlap w:val="never"/>
        <w:tblW w:w="15920" w:type="dxa"/>
        <w:tblLook w:val="04A0" w:firstRow="1" w:lastRow="0" w:firstColumn="1" w:lastColumn="0" w:noHBand="0" w:noVBand="1"/>
      </w:tblPr>
      <w:tblGrid>
        <w:gridCol w:w="1092"/>
        <w:gridCol w:w="2872"/>
        <w:gridCol w:w="6322"/>
        <w:gridCol w:w="2084"/>
        <w:gridCol w:w="1853"/>
        <w:gridCol w:w="1697"/>
      </w:tblGrid>
      <w:tr w:rsidR="00B92DB1" w:rsidRPr="00B92DB1" w14:paraId="40C1106D" w14:textId="77777777" w:rsidTr="0051235B">
        <w:trPr>
          <w:trHeight w:val="562"/>
        </w:trPr>
        <w:tc>
          <w:tcPr>
            <w:tcW w:w="1092" w:type="dxa"/>
            <w:vAlign w:val="center"/>
          </w:tcPr>
          <w:p w14:paraId="307A3D1D" w14:textId="77777777" w:rsidR="00B92DB1" w:rsidRPr="00B92DB1" w:rsidRDefault="00B92DB1" w:rsidP="0051235B">
            <w:pPr>
              <w:pStyle w:val="Default"/>
              <w:jc w:val="center"/>
              <w:rPr>
                <w:rFonts w:ascii="Arial" w:hAnsi="Arial" w:cs="Arial"/>
                <w:b/>
                <w:bCs/>
              </w:rPr>
            </w:pPr>
            <w:r w:rsidRPr="00B92DB1">
              <w:rPr>
                <w:rFonts w:ascii="Arial" w:hAnsi="Arial" w:cs="Arial"/>
                <w:b/>
                <w:bCs/>
              </w:rPr>
              <w:t>№ п/п</w:t>
            </w:r>
          </w:p>
        </w:tc>
        <w:tc>
          <w:tcPr>
            <w:tcW w:w="2872" w:type="dxa"/>
            <w:vAlign w:val="center"/>
          </w:tcPr>
          <w:p w14:paraId="5C874951" w14:textId="77777777" w:rsidR="00B92DB1" w:rsidRPr="00B92DB1" w:rsidRDefault="00B92DB1" w:rsidP="0051235B">
            <w:pPr>
              <w:pStyle w:val="Default"/>
              <w:jc w:val="center"/>
              <w:rPr>
                <w:rFonts w:ascii="Arial" w:hAnsi="Arial" w:cs="Arial"/>
                <w:b/>
                <w:bCs/>
              </w:rPr>
            </w:pPr>
            <w:r w:rsidRPr="00B92DB1">
              <w:rPr>
                <w:rFonts w:ascii="Arial" w:hAnsi="Arial" w:cs="Arial"/>
                <w:b/>
                <w:bCs/>
              </w:rPr>
              <w:t>Наименование показателя КПД</w:t>
            </w:r>
          </w:p>
        </w:tc>
        <w:tc>
          <w:tcPr>
            <w:tcW w:w="6322" w:type="dxa"/>
          </w:tcPr>
          <w:p w14:paraId="4D1482B7" w14:textId="77777777" w:rsidR="00B92DB1" w:rsidRPr="00B92DB1" w:rsidRDefault="00B92DB1" w:rsidP="0051235B">
            <w:pPr>
              <w:pStyle w:val="Default"/>
              <w:jc w:val="center"/>
              <w:rPr>
                <w:rFonts w:ascii="Arial" w:hAnsi="Arial" w:cs="Arial"/>
                <w:b/>
                <w:bCs/>
              </w:rPr>
            </w:pPr>
            <w:r w:rsidRPr="00B92DB1">
              <w:rPr>
                <w:rFonts w:ascii="Arial" w:hAnsi="Arial" w:cs="Arial"/>
                <w:b/>
                <w:bCs/>
              </w:rPr>
              <w:t>Формула расчета</w:t>
            </w:r>
          </w:p>
        </w:tc>
        <w:tc>
          <w:tcPr>
            <w:tcW w:w="2084" w:type="dxa"/>
          </w:tcPr>
          <w:p w14:paraId="26E77B9A" w14:textId="77777777" w:rsidR="00B92DB1" w:rsidRPr="00B92DB1" w:rsidRDefault="00B92DB1" w:rsidP="0051235B">
            <w:pPr>
              <w:pStyle w:val="Default"/>
              <w:jc w:val="center"/>
              <w:rPr>
                <w:rFonts w:ascii="Arial" w:hAnsi="Arial" w:cs="Arial"/>
                <w:b/>
                <w:bCs/>
              </w:rPr>
            </w:pPr>
            <w:r w:rsidRPr="00B92DB1">
              <w:rPr>
                <w:rFonts w:ascii="Arial" w:hAnsi="Arial" w:cs="Arial"/>
                <w:b/>
                <w:bCs/>
              </w:rPr>
              <w:t>Уровень КПД</w:t>
            </w:r>
          </w:p>
        </w:tc>
        <w:tc>
          <w:tcPr>
            <w:tcW w:w="1853" w:type="dxa"/>
          </w:tcPr>
          <w:p w14:paraId="197D839C" w14:textId="77777777" w:rsidR="00B92DB1" w:rsidRPr="00B92DB1" w:rsidRDefault="00B92DB1" w:rsidP="0051235B">
            <w:pPr>
              <w:pStyle w:val="Default"/>
              <w:jc w:val="center"/>
              <w:rPr>
                <w:rFonts w:ascii="Arial" w:hAnsi="Arial" w:cs="Arial"/>
                <w:b/>
                <w:bCs/>
              </w:rPr>
            </w:pPr>
            <w:r w:rsidRPr="00B92DB1">
              <w:rPr>
                <w:rFonts w:ascii="Arial" w:hAnsi="Arial" w:cs="Arial"/>
                <w:b/>
                <w:bCs/>
              </w:rPr>
              <w:t>Баллы в соответствии с уровнем</w:t>
            </w:r>
          </w:p>
        </w:tc>
        <w:tc>
          <w:tcPr>
            <w:tcW w:w="1697" w:type="dxa"/>
          </w:tcPr>
          <w:p w14:paraId="7F2EC824" w14:textId="77777777" w:rsidR="00B92DB1" w:rsidRPr="00B92DB1" w:rsidRDefault="00B92DB1" w:rsidP="0051235B">
            <w:pPr>
              <w:pStyle w:val="Default"/>
              <w:jc w:val="center"/>
              <w:rPr>
                <w:rFonts w:ascii="Arial" w:hAnsi="Arial" w:cs="Arial"/>
                <w:b/>
                <w:bCs/>
              </w:rPr>
            </w:pPr>
            <w:r w:rsidRPr="00B92DB1">
              <w:rPr>
                <w:rFonts w:ascii="Arial" w:hAnsi="Arial" w:cs="Arial"/>
                <w:b/>
                <w:bCs/>
              </w:rPr>
              <w:t>Удельный вес</w:t>
            </w:r>
          </w:p>
        </w:tc>
      </w:tr>
      <w:tr w:rsidR="00B92DB1" w:rsidRPr="00B92DB1" w14:paraId="18757C1B" w14:textId="77777777" w:rsidTr="0051235B">
        <w:tc>
          <w:tcPr>
            <w:tcW w:w="1092" w:type="dxa"/>
            <w:vMerge w:val="restart"/>
            <w:vAlign w:val="center"/>
          </w:tcPr>
          <w:p w14:paraId="49A00F79" w14:textId="77777777" w:rsidR="00B92DB1" w:rsidRPr="00B92DB1" w:rsidRDefault="00B92DB1" w:rsidP="0051235B">
            <w:pPr>
              <w:pStyle w:val="Default"/>
              <w:jc w:val="center"/>
              <w:rPr>
                <w:rFonts w:ascii="Arial" w:hAnsi="Arial" w:cs="Arial"/>
                <w:bCs/>
              </w:rPr>
            </w:pPr>
            <w:r w:rsidRPr="00B92DB1">
              <w:rPr>
                <w:rFonts w:ascii="Arial" w:hAnsi="Arial" w:cs="Arial"/>
                <w:bCs/>
              </w:rPr>
              <w:t>1</w:t>
            </w:r>
          </w:p>
        </w:tc>
        <w:tc>
          <w:tcPr>
            <w:tcW w:w="2872" w:type="dxa"/>
            <w:vMerge w:val="restart"/>
            <w:vAlign w:val="center"/>
          </w:tcPr>
          <w:p w14:paraId="1C7E61B0" w14:textId="77777777" w:rsidR="00B92DB1" w:rsidRPr="00B92DB1" w:rsidRDefault="00B92DB1" w:rsidP="0051235B">
            <w:pPr>
              <w:pStyle w:val="Default"/>
              <w:jc w:val="center"/>
              <w:rPr>
                <w:rFonts w:ascii="Arial" w:hAnsi="Arial" w:cs="Arial"/>
                <w:bCs/>
              </w:rPr>
            </w:pPr>
            <w:r w:rsidRPr="00B92DB1">
              <w:rPr>
                <w:rFonts w:ascii="Arial" w:hAnsi="Arial" w:cs="Arial"/>
                <w:bCs/>
              </w:rPr>
              <w:t>КПД1: Коэффициент качественного оказания услуг</w:t>
            </w:r>
          </w:p>
        </w:tc>
        <w:tc>
          <w:tcPr>
            <w:tcW w:w="6322" w:type="dxa"/>
            <w:vMerge w:val="restart"/>
          </w:tcPr>
          <w:p w14:paraId="3776506A" w14:textId="77777777" w:rsidR="00B92DB1" w:rsidRPr="00B92DB1" w:rsidRDefault="00B92DB1" w:rsidP="0051235B">
            <w:pPr>
              <w:pStyle w:val="Default"/>
              <w:jc w:val="center"/>
              <w:rPr>
                <w:rFonts w:ascii="Arial" w:hAnsi="Arial" w:cs="Arial"/>
                <w:bCs/>
              </w:rPr>
            </w:pPr>
          </w:p>
          <w:p w14:paraId="50F7C42E" w14:textId="77777777" w:rsidR="00B92DB1" w:rsidRPr="00B92DB1" w:rsidRDefault="00B92DB1" w:rsidP="0051235B">
            <w:pPr>
              <w:pStyle w:val="Default"/>
              <w:jc w:val="center"/>
              <w:rPr>
                <w:rFonts w:ascii="Arial" w:hAnsi="Arial" w:cs="Arial"/>
                <w:bCs/>
              </w:rPr>
            </w:pPr>
          </w:p>
          <w:p w14:paraId="4C2DF21A" w14:textId="77777777" w:rsidR="00B92DB1" w:rsidRPr="00B92DB1" w:rsidRDefault="00B92DB1" w:rsidP="0051235B">
            <w:pPr>
              <w:pStyle w:val="Default"/>
              <w:jc w:val="center"/>
              <w:rPr>
                <w:rFonts w:ascii="Arial" w:hAnsi="Arial" w:cs="Arial"/>
                <w:bCs/>
              </w:rPr>
            </w:pPr>
            <w:r w:rsidRPr="00B92DB1">
              <w:rPr>
                <w:rFonts w:ascii="Arial" w:hAnsi="Arial" w:cs="Arial"/>
                <w:bCs/>
              </w:rPr>
              <w:t>Σнар – общее количество некачественных Услуг в отчетном периоде, согласно условиям настоящего Договора, на которые составлен акт о недостатках</w:t>
            </w:r>
          </w:p>
          <w:p w14:paraId="19AD9DAC" w14:textId="77777777" w:rsidR="00B92DB1" w:rsidRPr="00B92DB1" w:rsidRDefault="00B92DB1" w:rsidP="0051235B">
            <w:pPr>
              <w:pStyle w:val="Default"/>
              <w:jc w:val="center"/>
              <w:rPr>
                <w:rFonts w:ascii="Arial" w:hAnsi="Arial" w:cs="Arial"/>
                <w:bCs/>
              </w:rPr>
            </w:pPr>
          </w:p>
        </w:tc>
        <w:tc>
          <w:tcPr>
            <w:tcW w:w="2084" w:type="dxa"/>
            <w:vAlign w:val="center"/>
          </w:tcPr>
          <w:p w14:paraId="34869B3D" w14:textId="77777777" w:rsidR="00B92DB1" w:rsidRPr="00B92DB1" w:rsidRDefault="00B92DB1" w:rsidP="0051235B">
            <w:pPr>
              <w:pStyle w:val="Default"/>
              <w:jc w:val="center"/>
              <w:rPr>
                <w:rFonts w:ascii="Arial" w:hAnsi="Arial" w:cs="Arial"/>
                <w:bCs/>
              </w:rPr>
            </w:pPr>
            <w:r w:rsidRPr="00B92DB1">
              <w:rPr>
                <w:rFonts w:ascii="Arial" w:hAnsi="Arial" w:cs="Arial"/>
                <w:bCs/>
              </w:rPr>
              <w:t>не более 0,005%</w:t>
            </w:r>
          </w:p>
        </w:tc>
        <w:tc>
          <w:tcPr>
            <w:tcW w:w="1853" w:type="dxa"/>
            <w:vAlign w:val="center"/>
          </w:tcPr>
          <w:p w14:paraId="2AFE3F24" w14:textId="77777777" w:rsidR="00B92DB1" w:rsidRPr="00B92DB1" w:rsidRDefault="00B92DB1" w:rsidP="0051235B">
            <w:pPr>
              <w:pStyle w:val="Default"/>
              <w:jc w:val="center"/>
              <w:rPr>
                <w:rFonts w:ascii="Arial" w:hAnsi="Arial" w:cs="Arial"/>
                <w:bCs/>
              </w:rPr>
            </w:pPr>
            <w:r w:rsidRPr="00B92DB1">
              <w:rPr>
                <w:rFonts w:ascii="Arial" w:hAnsi="Arial" w:cs="Arial"/>
                <w:bCs/>
              </w:rPr>
              <w:t>100</w:t>
            </w:r>
          </w:p>
        </w:tc>
        <w:tc>
          <w:tcPr>
            <w:tcW w:w="1697" w:type="dxa"/>
            <w:vMerge w:val="restart"/>
            <w:vAlign w:val="center"/>
          </w:tcPr>
          <w:p w14:paraId="76C90298" w14:textId="77777777" w:rsidR="00B92DB1" w:rsidRPr="00B92DB1" w:rsidRDefault="00B92DB1" w:rsidP="0051235B">
            <w:pPr>
              <w:pStyle w:val="Default"/>
              <w:jc w:val="center"/>
              <w:rPr>
                <w:rFonts w:ascii="Arial" w:hAnsi="Arial" w:cs="Arial"/>
                <w:bCs/>
              </w:rPr>
            </w:pPr>
            <w:r w:rsidRPr="00B92DB1">
              <w:rPr>
                <w:rFonts w:ascii="Arial" w:hAnsi="Arial" w:cs="Arial"/>
                <w:bCs/>
              </w:rPr>
              <w:t xml:space="preserve">50 </w:t>
            </w:r>
          </w:p>
        </w:tc>
      </w:tr>
      <w:tr w:rsidR="00B92DB1" w:rsidRPr="00B92DB1" w14:paraId="38F9AC65" w14:textId="77777777" w:rsidTr="0051235B">
        <w:tc>
          <w:tcPr>
            <w:tcW w:w="1092" w:type="dxa"/>
            <w:vMerge/>
            <w:vAlign w:val="center"/>
          </w:tcPr>
          <w:p w14:paraId="6E26C716" w14:textId="77777777" w:rsidR="00B92DB1" w:rsidRPr="00B92DB1" w:rsidRDefault="00B92DB1" w:rsidP="0051235B">
            <w:pPr>
              <w:pStyle w:val="Default"/>
              <w:jc w:val="center"/>
              <w:rPr>
                <w:rFonts w:ascii="Arial" w:hAnsi="Arial" w:cs="Arial"/>
                <w:bCs/>
              </w:rPr>
            </w:pPr>
          </w:p>
        </w:tc>
        <w:tc>
          <w:tcPr>
            <w:tcW w:w="2872" w:type="dxa"/>
            <w:vMerge/>
            <w:vAlign w:val="center"/>
          </w:tcPr>
          <w:p w14:paraId="60B0886F" w14:textId="77777777" w:rsidR="00B92DB1" w:rsidRPr="00B92DB1" w:rsidRDefault="00B92DB1" w:rsidP="0051235B">
            <w:pPr>
              <w:pStyle w:val="Default"/>
              <w:jc w:val="center"/>
              <w:rPr>
                <w:rFonts w:ascii="Arial" w:hAnsi="Arial" w:cs="Arial"/>
                <w:bCs/>
              </w:rPr>
            </w:pPr>
          </w:p>
        </w:tc>
        <w:tc>
          <w:tcPr>
            <w:tcW w:w="6322" w:type="dxa"/>
            <w:vMerge/>
          </w:tcPr>
          <w:p w14:paraId="6F6EE476" w14:textId="77777777" w:rsidR="00B92DB1" w:rsidRPr="00B92DB1" w:rsidRDefault="00B92DB1" w:rsidP="0051235B">
            <w:pPr>
              <w:pStyle w:val="Default"/>
              <w:jc w:val="center"/>
              <w:rPr>
                <w:rFonts w:ascii="Arial" w:hAnsi="Arial" w:cs="Arial"/>
                <w:bCs/>
              </w:rPr>
            </w:pPr>
          </w:p>
        </w:tc>
        <w:tc>
          <w:tcPr>
            <w:tcW w:w="2084" w:type="dxa"/>
            <w:vAlign w:val="center"/>
          </w:tcPr>
          <w:p w14:paraId="0C3F706A" w14:textId="77777777" w:rsidR="00B92DB1" w:rsidRPr="00B92DB1" w:rsidRDefault="00B92DB1" w:rsidP="0051235B">
            <w:pPr>
              <w:pStyle w:val="Default"/>
              <w:jc w:val="center"/>
              <w:rPr>
                <w:rFonts w:ascii="Arial" w:hAnsi="Arial" w:cs="Arial"/>
                <w:bCs/>
              </w:rPr>
            </w:pPr>
            <w:r w:rsidRPr="00B92DB1">
              <w:rPr>
                <w:rFonts w:ascii="Arial" w:hAnsi="Arial" w:cs="Arial"/>
                <w:bCs/>
              </w:rPr>
              <w:t>не более 0,001%</w:t>
            </w:r>
          </w:p>
        </w:tc>
        <w:tc>
          <w:tcPr>
            <w:tcW w:w="1853" w:type="dxa"/>
            <w:vAlign w:val="center"/>
          </w:tcPr>
          <w:p w14:paraId="78C85B8F" w14:textId="77777777" w:rsidR="00B92DB1" w:rsidRPr="00B92DB1" w:rsidRDefault="00B92DB1" w:rsidP="0051235B">
            <w:pPr>
              <w:pStyle w:val="Default"/>
              <w:jc w:val="center"/>
              <w:rPr>
                <w:rFonts w:ascii="Arial" w:hAnsi="Arial" w:cs="Arial"/>
                <w:bCs/>
              </w:rPr>
            </w:pPr>
            <w:r w:rsidRPr="00B92DB1">
              <w:rPr>
                <w:rFonts w:ascii="Arial" w:hAnsi="Arial" w:cs="Arial"/>
                <w:bCs/>
              </w:rPr>
              <w:t>90</w:t>
            </w:r>
          </w:p>
        </w:tc>
        <w:tc>
          <w:tcPr>
            <w:tcW w:w="1697" w:type="dxa"/>
            <w:vMerge/>
            <w:vAlign w:val="center"/>
          </w:tcPr>
          <w:p w14:paraId="396D80F9" w14:textId="77777777" w:rsidR="00B92DB1" w:rsidRPr="00B92DB1" w:rsidRDefault="00B92DB1" w:rsidP="0051235B">
            <w:pPr>
              <w:pStyle w:val="Default"/>
              <w:jc w:val="center"/>
              <w:rPr>
                <w:rFonts w:ascii="Arial" w:hAnsi="Arial" w:cs="Arial"/>
                <w:bCs/>
              </w:rPr>
            </w:pPr>
          </w:p>
        </w:tc>
      </w:tr>
      <w:tr w:rsidR="00B92DB1" w:rsidRPr="00B92DB1" w14:paraId="19AF8391" w14:textId="77777777" w:rsidTr="0051235B">
        <w:tc>
          <w:tcPr>
            <w:tcW w:w="1092" w:type="dxa"/>
            <w:vMerge/>
            <w:vAlign w:val="center"/>
          </w:tcPr>
          <w:p w14:paraId="5D5773A9" w14:textId="77777777" w:rsidR="00B92DB1" w:rsidRPr="00B92DB1" w:rsidRDefault="00B92DB1" w:rsidP="0051235B">
            <w:pPr>
              <w:pStyle w:val="Default"/>
              <w:jc w:val="center"/>
              <w:rPr>
                <w:rFonts w:ascii="Arial" w:hAnsi="Arial" w:cs="Arial"/>
                <w:bCs/>
              </w:rPr>
            </w:pPr>
          </w:p>
        </w:tc>
        <w:tc>
          <w:tcPr>
            <w:tcW w:w="2872" w:type="dxa"/>
            <w:vMerge/>
            <w:vAlign w:val="center"/>
          </w:tcPr>
          <w:p w14:paraId="7EFCF37B" w14:textId="77777777" w:rsidR="00B92DB1" w:rsidRPr="00B92DB1" w:rsidRDefault="00B92DB1" w:rsidP="0051235B">
            <w:pPr>
              <w:pStyle w:val="Default"/>
              <w:jc w:val="center"/>
              <w:rPr>
                <w:rFonts w:ascii="Arial" w:hAnsi="Arial" w:cs="Arial"/>
                <w:bCs/>
              </w:rPr>
            </w:pPr>
          </w:p>
        </w:tc>
        <w:tc>
          <w:tcPr>
            <w:tcW w:w="6322" w:type="dxa"/>
            <w:vMerge/>
          </w:tcPr>
          <w:p w14:paraId="4915B4C3" w14:textId="77777777" w:rsidR="00B92DB1" w:rsidRPr="00B92DB1" w:rsidRDefault="00B92DB1" w:rsidP="0051235B">
            <w:pPr>
              <w:pStyle w:val="Default"/>
              <w:jc w:val="center"/>
              <w:rPr>
                <w:rFonts w:ascii="Arial" w:hAnsi="Arial" w:cs="Arial"/>
                <w:bCs/>
              </w:rPr>
            </w:pPr>
          </w:p>
        </w:tc>
        <w:tc>
          <w:tcPr>
            <w:tcW w:w="2084" w:type="dxa"/>
            <w:vAlign w:val="center"/>
          </w:tcPr>
          <w:p w14:paraId="60C47913" w14:textId="77777777" w:rsidR="00B92DB1" w:rsidRPr="00B92DB1" w:rsidRDefault="00B92DB1" w:rsidP="0051235B">
            <w:pPr>
              <w:pStyle w:val="Default"/>
              <w:jc w:val="center"/>
              <w:rPr>
                <w:rFonts w:ascii="Arial" w:hAnsi="Arial" w:cs="Arial"/>
                <w:bCs/>
              </w:rPr>
            </w:pPr>
            <w:r w:rsidRPr="00B92DB1">
              <w:rPr>
                <w:rFonts w:ascii="Arial" w:hAnsi="Arial" w:cs="Arial"/>
                <w:bCs/>
              </w:rPr>
              <w:t>не более 0,0015%</w:t>
            </w:r>
          </w:p>
        </w:tc>
        <w:tc>
          <w:tcPr>
            <w:tcW w:w="1853" w:type="dxa"/>
            <w:vAlign w:val="center"/>
          </w:tcPr>
          <w:p w14:paraId="6C65BEBE" w14:textId="77777777" w:rsidR="00B92DB1" w:rsidRPr="00B92DB1" w:rsidRDefault="00B92DB1" w:rsidP="0051235B">
            <w:pPr>
              <w:pStyle w:val="Default"/>
              <w:jc w:val="center"/>
              <w:rPr>
                <w:rFonts w:ascii="Arial" w:hAnsi="Arial" w:cs="Arial"/>
                <w:bCs/>
              </w:rPr>
            </w:pPr>
            <w:r w:rsidRPr="00B92DB1">
              <w:rPr>
                <w:rFonts w:ascii="Arial" w:hAnsi="Arial" w:cs="Arial"/>
                <w:bCs/>
              </w:rPr>
              <w:t>80</w:t>
            </w:r>
          </w:p>
        </w:tc>
        <w:tc>
          <w:tcPr>
            <w:tcW w:w="1697" w:type="dxa"/>
            <w:vMerge/>
            <w:vAlign w:val="center"/>
          </w:tcPr>
          <w:p w14:paraId="16536DFF" w14:textId="77777777" w:rsidR="00B92DB1" w:rsidRPr="00B92DB1" w:rsidRDefault="00B92DB1" w:rsidP="0051235B">
            <w:pPr>
              <w:pStyle w:val="Default"/>
              <w:jc w:val="center"/>
              <w:rPr>
                <w:rFonts w:ascii="Arial" w:hAnsi="Arial" w:cs="Arial"/>
                <w:bCs/>
              </w:rPr>
            </w:pPr>
          </w:p>
        </w:tc>
      </w:tr>
      <w:tr w:rsidR="00B92DB1" w:rsidRPr="00B92DB1" w14:paraId="3843EB8E" w14:textId="77777777" w:rsidTr="0051235B">
        <w:tc>
          <w:tcPr>
            <w:tcW w:w="1092" w:type="dxa"/>
            <w:vMerge w:val="restart"/>
            <w:vAlign w:val="center"/>
          </w:tcPr>
          <w:p w14:paraId="7D57006D" w14:textId="77777777" w:rsidR="00B92DB1" w:rsidRPr="00B92DB1" w:rsidRDefault="00B92DB1" w:rsidP="0051235B">
            <w:pPr>
              <w:pStyle w:val="Default"/>
              <w:jc w:val="center"/>
              <w:rPr>
                <w:rFonts w:ascii="Arial" w:hAnsi="Arial" w:cs="Arial"/>
              </w:rPr>
            </w:pPr>
            <w:r w:rsidRPr="00B92DB1">
              <w:rPr>
                <w:rFonts w:ascii="Arial" w:hAnsi="Arial" w:cs="Arial"/>
              </w:rPr>
              <w:t>2</w:t>
            </w:r>
          </w:p>
        </w:tc>
        <w:tc>
          <w:tcPr>
            <w:tcW w:w="2872" w:type="dxa"/>
            <w:vMerge w:val="restart"/>
            <w:vAlign w:val="center"/>
          </w:tcPr>
          <w:p w14:paraId="0DB862FE" w14:textId="77777777" w:rsidR="00B92DB1" w:rsidRPr="00B92DB1" w:rsidRDefault="00B92DB1" w:rsidP="0051235B">
            <w:pPr>
              <w:pStyle w:val="Default"/>
              <w:jc w:val="center"/>
              <w:rPr>
                <w:rFonts w:ascii="Arial" w:hAnsi="Arial" w:cs="Arial"/>
                <w:bCs/>
              </w:rPr>
            </w:pPr>
            <w:r w:rsidRPr="00B92DB1">
              <w:rPr>
                <w:rFonts w:ascii="Arial" w:hAnsi="Arial" w:cs="Arial"/>
                <w:bCs/>
              </w:rPr>
              <w:t xml:space="preserve">КПД 2: Доля </w:t>
            </w:r>
          </w:p>
          <w:p w14:paraId="75BA5475" w14:textId="77777777" w:rsidR="00B92DB1" w:rsidRPr="00B92DB1" w:rsidRDefault="00B92DB1" w:rsidP="0051235B">
            <w:pPr>
              <w:pStyle w:val="Default"/>
              <w:jc w:val="center"/>
              <w:rPr>
                <w:rFonts w:ascii="Arial" w:hAnsi="Arial" w:cs="Arial"/>
                <w:bCs/>
              </w:rPr>
            </w:pPr>
            <w:r w:rsidRPr="00B92DB1">
              <w:rPr>
                <w:rFonts w:ascii="Arial" w:hAnsi="Arial" w:cs="Arial"/>
                <w:bCs/>
              </w:rPr>
              <w:t>внутристрановой</w:t>
            </w:r>
          </w:p>
          <w:p w14:paraId="0846F076" w14:textId="77777777" w:rsidR="00B92DB1" w:rsidRPr="00B92DB1" w:rsidRDefault="00B92DB1" w:rsidP="0051235B">
            <w:pPr>
              <w:pStyle w:val="Default"/>
              <w:jc w:val="center"/>
              <w:rPr>
                <w:rFonts w:ascii="Arial" w:hAnsi="Arial" w:cs="Arial"/>
                <w:bCs/>
              </w:rPr>
            </w:pPr>
            <w:r w:rsidRPr="00B92DB1">
              <w:rPr>
                <w:rFonts w:ascii="Arial" w:hAnsi="Arial" w:cs="Arial"/>
                <w:bCs/>
              </w:rPr>
              <w:t>ценности (ДВЦ)</w:t>
            </w:r>
          </w:p>
        </w:tc>
        <w:tc>
          <w:tcPr>
            <w:tcW w:w="6322" w:type="dxa"/>
            <w:vMerge w:val="restart"/>
          </w:tcPr>
          <w:p w14:paraId="24839E55" w14:textId="77777777" w:rsidR="00B92DB1" w:rsidRPr="00B92DB1" w:rsidRDefault="00B92DB1" w:rsidP="0051235B">
            <w:pPr>
              <w:pStyle w:val="Default"/>
              <w:jc w:val="center"/>
              <w:rPr>
                <w:rFonts w:ascii="Arial" w:hAnsi="Arial" w:cs="Arial"/>
              </w:rPr>
            </w:pPr>
            <w:r w:rsidRPr="00B92DB1">
              <w:rPr>
                <w:rFonts w:ascii="Arial" w:hAnsi="Arial" w:cs="Arial"/>
              </w:rPr>
              <w:t>ДВЦ=ДВЦfact</w:t>
            </w:r>
          </w:p>
          <w:p w14:paraId="685DF6F2" w14:textId="77777777" w:rsidR="00B92DB1" w:rsidRPr="00B92DB1" w:rsidRDefault="00B92DB1" w:rsidP="0051235B">
            <w:pPr>
              <w:pStyle w:val="Default"/>
              <w:jc w:val="center"/>
              <w:rPr>
                <w:rFonts w:ascii="Arial" w:hAnsi="Arial" w:cs="Arial"/>
              </w:rPr>
            </w:pPr>
          </w:p>
          <w:p w14:paraId="77D79A78" w14:textId="77777777" w:rsidR="00B92DB1" w:rsidRPr="00B92DB1" w:rsidRDefault="00B92DB1" w:rsidP="0051235B">
            <w:pPr>
              <w:pStyle w:val="Default"/>
              <w:jc w:val="both"/>
              <w:rPr>
                <w:rFonts w:ascii="Arial" w:hAnsi="Arial" w:cs="Arial"/>
                <w:bCs/>
              </w:rPr>
            </w:pPr>
            <w:r w:rsidRPr="00B92DB1">
              <w:rPr>
                <w:rFonts w:ascii="Arial" w:hAnsi="Arial" w:cs="Arial"/>
              </w:rPr>
              <w:t xml:space="preserve">Где: ДВЦ – Значение доли внутристрановой ценности указанного в заключенном договоре </w:t>
            </w:r>
          </w:p>
        </w:tc>
        <w:tc>
          <w:tcPr>
            <w:tcW w:w="2084" w:type="dxa"/>
            <w:vAlign w:val="center"/>
          </w:tcPr>
          <w:p w14:paraId="254DF7C3" w14:textId="77777777" w:rsidR="00B92DB1" w:rsidRPr="00B92DB1" w:rsidRDefault="00B92DB1" w:rsidP="0051235B">
            <w:pPr>
              <w:pStyle w:val="Default"/>
              <w:jc w:val="center"/>
              <w:rPr>
                <w:rFonts w:ascii="Arial" w:hAnsi="Arial" w:cs="Arial"/>
                <w:bCs/>
              </w:rPr>
            </w:pPr>
            <w:r w:rsidRPr="00B92DB1">
              <w:rPr>
                <w:rFonts w:ascii="Arial" w:hAnsi="Arial" w:cs="Arial"/>
                <w:bCs/>
              </w:rPr>
              <w:t>85</w:t>
            </w:r>
          </w:p>
        </w:tc>
        <w:tc>
          <w:tcPr>
            <w:tcW w:w="1853" w:type="dxa"/>
            <w:vAlign w:val="center"/>
          </w:tcPr>
          <w:p w14:paraId="3B26CB95" w14:textId="77777777" w:rsidR="00B92DB1" w:rsidRPr="00B92DB1" w:rsidRDefault="00B92DB1" w:rsidP="0051235B">
            <w:pPr>
              <w:pStyle w:val="Default"/>
              <w:jc w:val="center"/>
              <w:rPr>
                <w:rFonts w:ascii="Arial" w:hAnsi="Arial" w:cs="Arial"/>
                <w:bCs/>
              </w:rPr>
            </w:pPr>
            <w:r w:rsidRPr="00B92DB1">
              <w:rPr>
                <w:rFonts w:ascii="Arial" w:hAnsi="Arial" w:cs="Arial"/>
                <w:bCs/>
              </w:rPr>
              <w:t>100</w:t>
            </w:r>
          </w:p>
        </w:tc>
        <w:tc>
          <w:tcPr>
            <w:tcW w:w="1697" w:type="dxa"/>
            <w:vMerge w:val="restart"/>
            <w:vAlign w:val="center"/>
          </w:tcPr>
          <w:p w14:paraId="5A5CE181" w14:textId="77777777" w:rsidR="00B92DB1" w:rsidRPr="00B92DB1" w:rsidRDefault="00B92DB1" w:rsidP="0051235B">
            <w:pPr>
              <w:pStyle w:val="Default"/>
              <w:jc w:val="center"/>
              <w:rPr>
                <w:rFonts w:ascii="Arial" w:hAnsi="Arial" w:cs="Arial"/>
              </w:rPr>
            </w:pPr>
            <w:r w:rsidRPr="00B92DB1">
              <w:rPr>
                <w:rFonts w:ascii="Arial" w:hAnsi="Arial" w:cs="Arial"/>
              </w:rPr>
              <w:t xml:space="preserve">30 </w:t>
            </w:r>
          </w:p>
        </w:tc>
      </w:tr>
      <w:tr w:rsidR="00B92DB1" w:rsidRPr="00B92DB1" w14:paraId="051FB554" w14:textId="77777777" w:rsidTr="0051235B">
        <w:tc>
          <w:tcPr>
            <w:tcW w:w="1092" w:type="dxa"/>
            <w:vMerge/>
            <w:vAlign w:val="center"/>
          </w:tcPr>
          <w:p w14:paraId="20B06A53" w14:textId="77777777" w:rsidR="00B92DB1" w:rsidRPr="00B92DB1" w:rsidRDefault="00B92DB1" w:rsidP="0051235B">
            <w:pPr>
              <w:pStyle w:val="Default"/>
              <w:jc w:val="center"/>
              <w:rPr>
                <w:rFonts w:ascii="Arial" w:hAnsi="Arial" w:cs="Arial"/>
              </w:rPr>
            </w:pPr>
          </w:p>
        </w:tc>
        <w:tc>
          <w:tcPr>
            <w:tcW w:w="2872" w:type="dxa"/>
            <w:vMerge/>
            <w:vAlign w:val="center"/>
          </w:tcPr>
          <w:p w14:paraId="2AEBAD6C" w14:textId="77777777" w:rsidR="00B92DB1" w:rsidRPr="00B92DB1" w:rsidRDefault="00B92DB1" w:rsidP="0051235B">
            <w:pPr>
              <w:pStyle w:val="Default"/>
              <w:jc w:val="center"/>
              <w:rPr>
                <w:rFonts w:ascii="Arial" w:hAnsi="Arial" w:cs="Arial"/>
                <w:bCs/>
              </w:rPr>
            </w:pPr>
          </w:p>
        </w:tc>
        <w:tc>
          <w:tcPr>
            <w:tcW w:w="6322" w:type="dxa"/>
            <w:vMerge/>
          </w:tcPr>
          <w:p w14:paraId="2E68D5B6" w14:textId="77777777" w:rsidR="00B92DB1" w:rsidRPr="00B92DB1" w:rsidRDefault="00B92DB1" w:rsidP="0051235B">
            <w:pPr>
              <w:pStyle w:val="Default"/>
              <w:jc w:val="center"/>
              <w:rPr>
                <w:rFonts w:ascii="Arial" w:hAnsi="Arial" w:cs="Arial"/>
              </w:rPr>
            </w:pPr>
          </w:p>
        </w:tc>
        <w:tc>
          <w:tcPr>
            <w:tcW w:w="2084" w:type="dxa"/>
            <w:vAlign w:val="center"/>
          </w:tcPr>
          <w:p w14:paraId="06DB79EB" w14:textId="77777777" w:rsidR="00B92DB1" w:rsidRPr="00B92DB1" w:rsidRDefault="00B92DB1" w:rsidP="0051235B">
            <w:pPr>
              <w:pStyle w:val="Default"/>
              <w:jc w:val="center"/>
              <w:rPr>
                <w:rFonts w:ascii="Arial" w:hAnsi="Arial" w:cs="Arial"/>
              </w:rPr>
            </w:pPr>
            <w:r w:rsidRPr="00B92DB1">
              <w:rPr>
                <w:rFonts w:ascii="Arial" w:hAnsi="Arial" w:cs="Arial"/>
              </w:rPr>
              <w:t>70</w:t>
            </w:r>
          </w:p>
        </w:tc>
        <w:tc>
          <w:tcPr>
            <w:tcW w:w="1853" w:type="dxa"/>
            <w:vAlign w:val="center"/>
          </w:tcPr>
          <w:p w14:paraId="2CE0D4D5" w14:textId="77777777" w:rsidR="00B92DB1" w:rsidRPr="00B92DB1" w:rsidRDefault="00B92DB1" w:rsidP="0051235B">
            <w:pPr>
              <w:pStyle w:val="Default"/>
              <w:jc w:val="center"/>
              <w:rPr>
                <w:rFonts w:ascii="Arial" w:hAnsi="Arial" w:cs="Arial"/>
                <w:bCs/>
              </w:rPr>
            </w:pPr>
            <w:r w:rsidRPr="00B92DB1">
              <w:rPr>
                <w:rFonts w:ascii="Arial" w:hAnsi="Arial" w:cs="Arial"/>
                <w:bCs/>
              </w:rPr>
              <w:t>90</w:t>
            </w:r>
          </w:p>
        </w:tc>
        <w:tc>
          <w:tcPr>
            <w:tcW w:w="1697" w:type="dxa"/>
            <w:vMerge/>
            <w:vAlign w:val="center"/>
          </w:tcPr>
          <w:p w14:paraId="4851CC84" w14:textId="77777777" w:rsidR="00B92DB1" w:rsidRPr="00B92DB1" w:rsidRDefault="00B92DB1" w:rsidP="0051235B">
            <w:pPr>
              <w:pStyle w:val="Default"/>
              <w:jc w:val="center"/>
              <w:rPr>
                <w:rFonts w:ascii="Arial" w:hAnsi="Arial" w:cs="Arial"/>
              </w:rPr>
            </w:pPr>
          </w:p>
        </w:tc>
      </w:tr>
      <w:tr w:rsidR="00B92DB1" w:rsidRPr="00B92DB1" w14:paraId="57B10FBF" w14:textId="77777777" w:rsidTr="0051235B">
        <w:tc>
          <w:tcPr>
            <w:tcW w:w="1092" w:type="dxa"/>
            <w:vMerge/>
            <w:vAlign w:val="center"/>
          </w:tcPr>
          <w:p w14:paraId="2C7C1509" w14:textId="77777777" w:rsidR="00B92DB1" w:rsidRPr="00B92DB1" w:rsidRDefault="00B92DB1" w:rsidP="0051235B">
            <w:pPr>
              <w:pStyle w:val="Default"/>
              <w:jc w:val="center"/>
              <w:rPr>
                <w:rFonts w:ascii="Arial" w:hAnsi="Arial" w:cs="Arial"/>
              </w:rPr>
            </w:pPr>
          </w:p>
        </w:tc>
        <w:tc>
          <w:tcPr>
            <w:tcW w:w="2872" w:type="dxa"/>
            <w:vMerge/>
            <w:vAlign w:val="center"/>
          </w:tcPr>
          <w:p w14:paraId="2F3FB29E" w14:textId="77777777" w:rsidR="00B92DB1" w:rsidRPr="00B92DB1" w:rsidRDefault="00B92DB1" w:rsidP="0051235B">
            <w:pPr>
              <w:pStyle w:val="Default"/>
              <w:jc w:val="center"/>
              <w:rPr>
                <w:rFonts w:ascii="Arial" w:hAnsi="Arial" w:cs="Arial"/>
                <w:bCs/>
              </w:rPr>
            </w:pPr>
          </w:p>
        </w:tc>
        <w:tc>
          <w:tcPr>
            <w:tcW w:w="6322" w:type="dxa"/>
            <w:vMerge/>
          </w:tcPr>
          <w:p w14:paraId="39B421A7" w14:textId="77777777" w:rsidR="00B92DB1" w:rsidRPr="00B92DB1" w:rsidRDefault="00B92DB1" w:rsidP="0051235B">
            <w:pPr>
              <w:pStyle w:val="Default"/>
              <w:jc w:val="center"/>
              <w:rPr>
                <w:rFonts w:ascii="Arial" w:hAnsi="Arial" w:cs="Arial"/>
              </w:rPr>
            </w:pPr>
          </w:p>
        </w:tc>
        <w:tc>
          <w:tcPr>
            <w:tcW w:w="2084" w:type="dxa"/>
            <w:vAlign w:val="center"/>
          </w:tcPr>
          <w:p w14:paraId="4E7BDDBB" w14:textId="77777777" w:rsidR="00B92DB1" w:rsidRPr="00B92DB1" w:rsidRDefault="00B92DB1" w:rsidP="0051235B">
            <w:pPr>
              <w:pStyle w:val="Default"/>
              <w:jc w:val="center"/>
              <w:rPr>
                <w:rFonts w:ascii="Arial" w:hAnsi="Arial" w:cs="Arial"/>
              </w:rPr>
            </w:pPr>
            <w:r w:rsidRPr="00B92DB1">
              <w:rPr>
                <w:rFonts w:ascii="Arial" w:hAnsi="Arial" w:cs="Arial"/>
              </w:rPr>
              <w:t>60</w:t>
            </w:r>
          </w:p>
        </w:tc>
        <w:tc>
          <w:tcPr>
            <w:tcW w:w="1853" w:type="dxa"/>
            <w:vAlign w:val="center"/>
          </w:tcPr>
          <w:p w14:paraId="00F63584" w14:textId="77777777" w:rsidR="00B92DB1" w:rsidRPr="00B92DB1" w:rsidRDefault="00B92DB1" w:rsidP="0051235B">
            <w:pPr>
              <w:pStyle w:val="Default"/>
              <w:jc w:val="center"/>
              <w:rPr>
                <w:rFonts w:ascii="Arial" w:hAnsi="Arial" w:cs="Arial"/>
                <w:bCs/>
              </w:rPr>
            </w:pPr>
            <w:r w:rsidRPr="00B92DB1">
              <w:rPr>
                <w:rFonts w:ascii="Arial" w:hAnsi="Arial" w:cs="Arial"/>
                <w:bCs/>
              </w:rPr>
              <w:t>80</w:t>
            </w:r>
          </w:p>
        </w:tc>
        <w:tc>
          <w:tcPr>
            <w:tcW w:w="1697" w:type="dxa"/>
            <w:vMerge/>
            <w:vAlign w:val="center"/>
          </w:tcPr>
          <w:p w14:paraId="006FAF9F" w14:textId="77777777" w:rsidR="00B92DB1" w:rsidRPr="00B92DB1" w:rsidRDefault="00B92DB1" w:rsidP="0051235B">
            <w:pPr>
              <w:pStyle w:val="Default"/>
              <w:jc w:val="center"/>
              <w:rPr>
                <w:rFonts w:ascii="Arial" w:hAnsi="Arial" w:cs="Arial"/>
              </w:rPr>
            </w:pPr>
          </w:p>
        </w:tc>
      </w:tr>
      <w:tr w:rsidR="00B92DB1" w:rsidRPr="00B92DB1" w14:paraId="17853173" w14:textId="77777777" w:rsidTr="0051235B">
        <w:tc>
          <w:tcPr>
            <w:tcW w:w="1092" w:type="dxa"/>
            <w:vMerge w:val="restart"/>
            <w:vAlign w:val="center"/>
          </w:tcPr>
          <w:p w14:paraId="3EB60570" w14:textId="77777777" w:rsidR="00B92DB1" w:rsidRPr="00B92DB1" w:rsidRDefault="00B92DB1" w:rsidP="0051235B">
            <w:pPr>
              <w:pStyle w:val="Default"/>
              <w:jc w:val="center"/>
              <w:rPr>
                <w:rFonts w:ascii="Arial" w:hAnsi="Arial" w:cs="Arial"/>
              </w:rPr>
            </w:pPr>
            <w:r w:rsidRPr="00B92DB1">
              <w:rPr>
                <w:rFonts w:ascii="Arial" w:hAnsi="Arial" w:cs="Arial"/>
              </w:rPr>
              <w:t>3</w:t>
            </w:r>
          </w:p>
        </w:tc>
        <w:tc>
          <w:tcPr>
            <w:tcW w:w="2872" w:type="dxa"/>
            <w:vMerge w:val="restart"/>
            <w:vAlign w:val="center"/>
          </w:tcPr>
          <w:p w14:paraId="67FB6C42" w14:textId="77777777" w:rsidR="00B92DB1" w:rsidRPr="00B92DB1" w:rsidRDefault="00B92DB1" w:rsidP="0051235B">
            <w:pPr>
              <w:pStyle w:val="Default"/>
              <w:jc w:val="center"/>
              <w:rPr>
                <w:rFonts w:ascii="Arial" w:hAnsi="Arial" w:cs="Arial"/>
                <w:bCs/>
              </w:rPr>
            </w:pPr>
            <w:r w:rsidRPr="00B92DB1">
              <w:rPr>
                <w:rFonts w:ascii="Arial" w:hAnsi="Arial" w:cs="Arial"/>
                <w:bCs/>
              </w:rPr>
              <w:t xml:space="preserve">КПД 3*: Ежегодное подтверждение сертификата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w:t>
            </w:r>
            <w:r w:rsidRPr="00B92DB1">
              <w:rPr>
                <w:rFonts w:ascii="Arial" w:hAnsi="Arial" w:cs="Arial"/>
                <w:bCs/>
              </w:rPr>
              <w:lastRenderedPageBreak/>
              <w:t>продукты питания и напитки)</w:t>
            </w:r>
          </w:p>
        </w:tc>
        <w:tc>
          <w:tcPr>
            <w:tcW w:w="6322" w:type="dxa"/>
            <w:vMerge w:val="restart"/>
          </w:tcPr>
          <w:p w14:paraId="33750043" w14:textId="77777777" w:rsidR="00B92DB1" w:rsidRPr="00B92DB1" w:rsidRDefault="00B92DB1" w:rsidP="0051235B">
            <w:pPr>
              <w:pStyle w:val="Default"/>
              <w:jc w:val="center"/>
              <w:rPr>
                <w:rFonts w:ascii="Arial" w:hAnsi="Arial" w:cs="Arial"/>
                <w:bCs/>
              </w:rPr>
            </w:pPr>
            <w:r w:rsidRPr="00B92DB1">
              <w:rPr>
                <w:rFonts w:ascii="Arial" w:hAnsi="Arial" w:cs="Arial"/>
                <w:bCs/>
              </w:rPr>
              <w:lastRenderedPageBreak/>
              <w:t>Сертификат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продукты питания и напитки)</w:t>
            </w:r>
          </w:p>
        </w:tc>
        <w:tc>
          <w:tcPr>
            <w:tcW w:w="2084" w:type="dxa"/>
            <w:vAlign w:val="center"/>
          </w:tcPr>
          <w:p w14:paraId="2A97CD7A" w14:textId="77777777" w:rsidR="00B92DB1" w:rsidRPr="00B92DB1" w:rsidRDefault="00B92DB1" w:rsidP="0051235B">
            <w:pPr>
              <w:pStyle w:val="Default"/>
              <w:jc w:val="center"/>
              <w:rPr>
                <w:rFonts w:ascii="Arial" w:hAnsi="Arial" w:cs="Arial"/>
                <w:bCs/>
              </w:rPr>
            </w:pPr>
            <w:r w:rsidRPr="00B92DB1">
              <w:rPr>
                <w:rFonts w:ascii="Arial" w:hAnsi="Arial" w:cs="Arial"/>
                <w:bCs/>
              </w:rPr>
              <w:t xml:space="preserve">в течении </w:t>
            </w:r>
          </w:p>
          <w:p w14:paraId="1CB29192" w14:textId="77777777" w:rsidR="00B92DB1" w:rsidRPr="00B92DB1" w:rsidRDefault="00B92DB1" w:rsidP="0051235B">
            <w:pPr>
              <w:pStyle w:val="Default"/>
              <w:jc w:val="center"/>
              <w:rPr>
                <w:rFonts w:ascii="Arial" w:hAnsi="Arial" w:cs="Arial"/>
                <w:bCs/>
              </w:rPr>
            </w:pPr>
            <w:r w:rsidRPr="00B92DB1">
              <w:rPr>
                <w:rFonts w:ascii="Arial" w:hAnsi="Arial" w:cs="Arial"/>
                <w:bCs/>
              </w:rPr>
              <w:t>1 полугодия</w:t>
            </w:r>
          </w:p>
        </w:tc>
        <w:tc>
          <w:tcPr>
            <w:tcW w:w="1853" w:type="dxa"/>
            <w:vAlign w:val="center"/>
          </w:tcPr>
          <w:p w14:paraId="09875620" w14:textId="77777777" w:rsidR="00B92DB1" w:rsidRPr="00B92DB1" w:rsidRDefault="00B92DB1" w:rsidP="0051235B">
            <w:pPr>
              <w:pStyle w:val="Default"/>
              <w:jc w:val="center"/>
              <w:rPr>
                <w:rFonts w:ascii="Arial" w:hAnsi="Arial" w:cs="Arial"/>
                <w:bCs/>
              </w:rPr>
            </w:pPr>
            <w:r w:rsidRPr="00B92DB1">
              <w:rPr>
                <w:rFonts w:ascii="Arial" w:hAnsi="Arial" w:cs="Arial"/>
                <w:bCs/>
              </w:rPr>
              <w:t>100</w:t>
            </w:r>
          </w:p>
        </w:tc>
        <w:tc>
          <w:tcPr>
            <w:tcW w:w="1697" w:type="dxa"/>
            <w:vMerge w:val="restart"/>
            <w:vAlign w:val="center"/>
          </w:tcPr>
          <w:p w14:paraId="27FFB310" w14:textId="77777777" w:rsidR="00B92DB1" w:rsidRPr="00B92DB1" w:rsidRDefault="00B92DB1" w:rsidP="0051235B">
            <w:pPr>
              <w:pStyle w:val="Default"/>
              <w:jc w:val="center"/>
              <w:rPr>
                <w:rFonts w:ascii="Arial" w:hAnsi="Arial" w:cs="Arial"/>
                <w:bCs/>
              </w:rPr>
            </w:pPr>
            <w:r w:rsidRPr="00B92DB1">
              <w:rPr>
                <w:rFonts w:ascii="Arial" w:hAnsi="Arial" w:cs="Arial"/>
                <w:bCs/>
              </w:rPr>
              <w:t>20</w:t>
            </w:r>
          </w:p>
        </w:tc>
      </w:tr>
      <w:tr w:rsidR="00B92DB1" w:rsidRPr="00B92DB1" w14:paraId="0E1CE77B" w14:textId="77777777" w:rsidTr="0051235B">
        <w:tc>
          <w:tcPr>
            <w:tcW w:w="1092" w:type="dxa"/>
            <w:vMerge/>
          </w:tcPr>
          <w:p w14:paraId="6BC6CAF0" w14:textId="77777777" w:rsidR="00B92DB1" w:rsidRPr="00B92DB1" w:rsidRDefault="00B92DB1" w:rsidP="0051235B">
            <w:pPr>
              <w:pStyle w:val="Default"/>
              <w:rPr>
                <w:rFonts w:ascii="Arial" w:hAnsi="Arial" w:cs="Arial"/>
                <w:b/>
                <w:bCs/>
              </w:rPr>
            </w:pPr>
          </w:p>
        </w:tc>
        <w:tc>
          <w:tcPr>
            <w:tcW w:w="2872" w:type="dxa"/>
            <w:vMerge/>
            <w:vAlign w:val="center"/>
          </w:tcPr>
          <w:p w14:paraId="446441F0" w14:textId="77777777" w:rsidR="00B92DB1" w:rsidRPr="00B92DB1" w:rsidRDefault="00B92DB1" w:rsidP="0051235B">
            <w:pPr>
              <w:pStyle w:val="Default"/>
              <w:jc w:val="center"/>
              <w:rPr>
                <w:rFonts w:ascii="Arial" w:hAnsi="Arial" w:cs="Arial"/>
                <w:bCs/>
              </w:rPr>
            </w:pPr>
          </w:p>
        </w:tc>
        <w:tc>
          <w:tcPr>
            <w:tcW w:w="6322" w:type="dxa"/>
            <w:vMerge/>
          </w:tcPr>
          <w:p w14:paraId="55426BA1" w14:textId="77777777" w:rsidR="00B92DB1" w:rsidRPr="00B92DB1" w:rsidRDefault="00B92DB1" w:rsidP="0051235B">
            <w:pPr>
              <w:pStyle w:val="Default"/>
              <w:jc w:val="center"/>
              <w:rPr>
                <w:rFonts w:ascii="Arial" w:hAnsi="Arial" w:cs="Arial"/>
                <w:bCs/>
              </w:rPr>
            </w:pPr>
          </w:p>
        </w:tc>
        <w:tc>
          <w:tcPr>
            <w:tcW w:w="2084" w:type="dxa"/>
            <w:vAlign w:val="center"/>
          </w:tcPr>
          <w:p w14:paraId="7027D85A" w14:textId="77777777" w:rsidR="00B92DB1" w:rsidRPr="00B92DB1" w:rsidRDefault="00B92DB1" w:rsidP="0051235B">
            <w:pPr>
              <w:pStyle w:val="Default"/>
              <w:jc w:val="center"/>
              <w:rPr>
                <w:rFonts w:ascii="Arial" w:hAnsi="Arial" w:cs="Arial"/>
                <w:bCs/>
              </w:rPr>
            </w:pPr>
            <w:r w:rsidRPr="00B92DB1">
              <w:t xml:space="preserve">в </w:t>
            </w:r>
            <w:r w:rsidRPr="00B92DB1">
              <w:rPr>
                <w:rFonts w:ascii="Arial" w:hAnsi="Arial" w:cs="Arial"/>
                <w:bCs/>
              </w:rPr>
              <w:t>III квартале</w:t>
            </w:r>
          </w:p>
        </w:tc>
        <w:tc>
          <w:tcPr>
            <w:tcW w:w="1853" w:type="dxa"/>
            <w:vAlign w:val="center"/>
          </w:tcPr>
          <w:p w14:paraId="43A3DEDE" w14:textId="77777777" w:rsidR="00B92DB1" w:rsidRPr="00B92DB1" w:rsidRDefault="00B92DB1" w:rsidP="0051235B">
            <w:pPr>
              <w:pStyle w:val="Default"/>
              <w:jc w:val="center"/>
              <w:rPr>
                <w:rFonts w:ascii="Arial" w:hAnsi="Arial" w:cs="Arial"/>
                <w:bCs/>
              </w:rPr>
            </w:pPr>
            <w:r w:rsidRPr="00B92DB1">
              <w:rPr>
                <w:rFonts w:ascii="Arial" w:hAnsi="Arial" w:cs="Arial"/>
                <w:bCs/>
              </w:rPr>
              <w:t>75</w:t>
            </w:r>
          </w:p>
        </w:tc>
        <w:tc>
          <w:tcPr>
            <w:tcW w:w="1697" w:type="dxa"/>
            <w:vMerge/>
          </w:tcPr>
          <w:p w14:paraId="00A9D354" w14:textId="77777777" w:rsidR="00B92DB1" w:rsidRPr="00B92DB1" w:rsidRDefault="00B92DB1" w:rsidP="0051235B">
            <w:pPr>
              <w:pStyle w:val="Default"/>
              <w:jc w:val="center"/>
              <w:rPr>
                <w:rFonts w:ascii="Arial" w:hAnsi="Arial" w:cs="Arial"/>
                <w:bCs/>
              </w:rPr>
            </w:pPr>
          </w:p>
        </w:tc>
      </w:tr>
      <w:tr w:rsidR="00B92DB1" w:rsidRPr="00B92DB1" w14:paraId="0BDED140" w14:textId="77777777" w:rsidTr="0051235B">
        <w:tc>
          <w:tcPr>
            <w:tcW w:w="1092" w:type="dxa"/>
            <w:vMerge/>
          </w:tcPr>
          <w:p w14:paraId="05E90260" w14:textId="77777777" w:rsidR="00B92DB1" w:rsidRPr="00B92DB1" w:rsidRDefault="00B92DB1" w:rsidP="0051235B">
            <w:pPr>
              <w:pStyle w:val="Default"/>
              <w:rPr>
                <w:rFonts w:ascii="Arial" w:hAnsi="Arial" w:cs="Arial"/>
                <w:b/>
                <w:bCs/>
              </w:rPr>
            </w:pPr>
          </w:p>
        </w:tc>
        <w:tc>
          <w:tcPr>
            <w:tcW w:w="2872" w:type="dxa"/>
            <w:vMerge/>
            <w:vAlign w:val="center"/>
          </w:tcPr>
          <w:p w14:paraId="570CCDB1" w14:textId="77777777" w:rsidR="00B92DB1" w:rsidRPr="00B92DB1" w:rsidRDefault="00B92DB1" w:rsidP="0051235B">
            <w:pPr>
              <w:pStyle w:val="Default"/>
              <w:jc w:val="center"/>
              <w:rPr>
                <w:rFonts w:ascii="Arial" w:hAnsi="Arial" w:cs="Arial"/>
                <w:bCs/>
              </w:rPr>
            </w:pPr>
          </w:p>
        </w:tc>
        <w:tc>
          <w:tcPr>
            <w:tcW w:w="6322" w:type="dxa"/>
            <w:vMerge/>
          </w:tcPr>
          <w:p w14:paraId="213BD2F6" w14:textId="77777777" w:rsidR="00B92DB1" w:rsidRPr="00B92DB1" w:rsidRDefault="00B92DB1" w:rsidP="0051235B">
            <w:pPr>
              <w:pStyle w:val="Default"/>
              <w:jc w:val="center"/>
              <w:rPr>
                <w:rFonts w:ascii="Arial" w:hAnsi="Arial" w:cs="Arial"/>
                <w:bCs/>
              </w:rPr>
            </w:pPr>
          </w:p>
        </w:tc>
        <w:tc>
          <w:tcPr>
            <w:tcW w:w="2084" w:type="dxa"/>
            <w:vAlign w:val="center"/>
          </w:tcPr>
          <w:p w14:paraId="0F18E676" w14:textId="77777777" w:rsidR="00B92DB1" w:rsidRPr="00B92DB1" w:rsidRDefault="00B92DB1" w:rsidP="0051235B">
            <w:pPr>
              <w:pStyle w:val="Default"/>
              <w:jc w:val="center"/>
              <w:rPr>
                <w:rFonts w:ascii="Arial" w:hAnsi="Arial" w:cs="Arial"/>
                <w:bCs/>
              </w:rPr>
            </w:pPr>
            <w:r w:rsidRPr="00B92DB1">
              <w:rPr>
                <w:rFonts w:ascii="Arial" w:hAnsi="Arial" w:cs="Arial"/>
                <w:bCs/>
              </w:rPr>
              <w:t xml:space="preserve">в </w:t>
            </w:r>
            <w:r w:rsidRPr="00B92DB1">
              <w:rPr>
                <w:rFonts w:ascii="Arial" w:hAnsi="Arial" w:cs="Arial"/>
                <w:bCs/>
                <w:lang w:val="en-US"/>
              </w:rPr>
              <w:t>V</w:t>
            </w:r>
            <w:r w:rsidRPr="00B92DB1">
              <w:rPr>
                <w:rFonts w:ascii="Arial" w:hAnsi="Arial" w:cs="Arial"/>
                <w:bCs/>
              </w:rPr>
              <w:t>I квартале</w:t>
            </w:r>
          </w:p>
        </w:tc>
        <w:tc>
          <w:tcPr>
            <w:tcW w:w="1853" w:type="dxa"/>
            <w:vAlign w:val="center"/>
          </w:tcPr>
          <w:p w14:paraId="494DEE18" w14:textId="77777777" w:rsidR="00B92DB1" w:rsidRPr="00B92DB1" w:rsidRDefault="00B92DB1" w:rsidP="0051235B">
            <w:pPr>
              <w:pStyle w:val="Default"/>
              <w:jc w:val="center"/>
              <w:rPr>
                <w:rFonts w:ascii="Arial" w:hAnsi="Arial" w:cs="Arial"/>
                <w:bCs/>
                <w:lang w:val="en-US"/>
              </w:rPr>
            </w:pPr>
            <w:r w:rsidRPr="00B92DB1">
              <w:rPr>
                <w:rFonts w:ascii="Arial" w:hAnsi="Arial" w:cs="Arial"/>
                <w:bCs/>
                <w:lang w:val="en-US"/>
              </w:rPr>
              <w:t>0</w:t>
            </w:r>
          </w:p>
        </w:tc>
        <w:tc>
          <w:tcPr>
            <w:tcW w:w="1697" w:type="dxa"/>
            <w:vMerge/>
          </w:tcPr>
          <w:p w14:paraId="4DB3F585" w14:textId="77777777" w:rsidR="00B92DB1" w:rsidRPr="00B92DB1" w:rsidRDefault="00B92DB1" w:rsidP="0051235B">
            <w:pPr>
              <w:pStyle w:val="Default"/>
              <w:jc w:val="center"/>
              <w:rPr>
                <w:rFonts w:ascii="Arial" w:hAnsi="Arial" w:cs="Arial"/>
                <w:bCs/>
              </w:rPr>
            </w:pPr>
          </w:p>
        </w:tc>
      </w:tr>
    </w:tbl>
    <w:p w14:paraId="7E0E473C" w14:textId="77777777" w:rsidR="00B92DB1" w:rsidRPr="00B92DB1" w:rsidRDefault="00B92DB1" w:rsidP="00B92DB1">
      <w:pPr>
        <w:autoSpaceDE w:val="0"/>
        <w:autoSpaceDN w:val="0"/>
        <w:adjustRightInd w:val="0"/>
        <w:spacing w:after="0" w:line="240" w:lineRule="auto"/>
        <w:rPr>
          <w:rFonts w:ascii="Arial" w:hAnsi="Arial" w:cs="Arial"/>
          <w:color w:val="000000"/>
          <w:sz w:val="24"/>
          <w:szCs w:val="24"/>
        </w:rPr>
      </w:pPr>
    </w:p>
    <w:p w14:paraId="04CFB17A" w14:textId="77777777" w:rsidR="00B92DB1" w:rsidRPr="00300092" w:rsidRDefault="00B92DB1" w:rsidP="00B92DB1">
      <w:pPr>
        <w:autoSpaceDE w:val="0"/>
        <w:autoSpaceDN w:val="0"/>
        <w:adjustRightInd w:val="0"/>
        <w:spacing w:after="0" w:line="240" w:lineRule="auto"/>
        <w:ind w:left="284"/>
        <w:jc w:val="both"/>
        <w:rPr>
          <w:rFonts w:ascii="Arial" w:hAnsi="Arial" w:cs="Arial"/>
          <w:color w:val="000000"/>
          <w:sz w:val="24"/>
          <w:szCs w:val="24"/>
          <w:lang w:val="kk-KZ"/>
        </w:rPr>
      </w:pPr>
      <w:r w:rsidRPr="00300092">
        <w:rPr>
          <w:rFonts w:ascii="Arial" w:hAnsi="Arial" w:cs="Arial"/>
          <w:color w:val="000000"/>
          <w:sz w:val="24"/>
          <w:szCs w:val="24"/>
          <w:lang w:val="kk-KZ"/>
        </w:rPr>
        <w:t xml:space="preserve">Заказчик ежегодно, в срок до 15 января каждого года следующего за отчетным годом проводить мониторинг КПД для оценки фактического исполнения по каждому показателю на ежегодной основе с подведением итоговой оценки КПД. </w:t>
      </w:r>
    </w:p>
    <w:p w14:paraId="2ED83F5B" w14:textId="77777777" w:rsidR="00B92DB1" w:rsidRPr="00300092" w:rsidRDefault="00B92DB1" w:rsidP="00B92DB1">
      <w:pPr>
        <w:autoSpaceDE w:val="0"/>
        <w:autoSpaceDN w:val="0"/>
        <w:adjustRightInd w:val="0"/>
        <w:spacing w:after="0" w:line="240" w:lineRule="auto"/>
        <w:ind w:left="284"/>
        <w:jc w:val="both"/>
        <w:rPr>
          <w:rFonts w:ascii="Arial" w:hAnsi="Arial" w:cs="Arial"/>
          <w:color w:val="000000"/>
          <w:sz w:val="24"/>
          <w:szCs w:val="24"/>
          <w:lang w:val="kk-KZ"/>
        </w:rPr>
      </w:pPr>
      <w:r w:rsidRPr="00300092">
        <w:rPr>
          <w:rFonts w:ascii="Arial" w:hAnsi="Arial" w:cs="Arial"/>
          <w:color w:val="000000"/>
          <w:sz w:val="24"/>
          <w:szCs w:val="24"/>
          <w:lang w:val="kk-KZ"/>
        </w:rPr>
        <w:t xml:space="preserve">При исполнении КПД Испонителем Заказчик в праве продлить срок действия настоящего Договора не более 2 раз в следующей последовательности: </w:t>
      </w:r>
    </w:p>
    <w:p w14:paraId="39035C14" w14:textId="77777777" w:rsidR="00B92DB1" w:rsidRPr="00300092" w:rsidRDefault="00B92DB1" w:rsidP="00B92DB1">
      <w:pPr>
        <w:autoSpaceDE w:val="0"/>
        <w:autoSpaceDN w:val="0"/>
        <w:adjustRightInd w:val="0"/>
        <w:spacing w:after="0" w:line="240" w:lineRule="auto"/>
        <w:ind w:left="284"/>
        <w:jc w:val="both"/>
        <w:rPr>
          <w:rFonts w:ascii="Arial" w:hAnsi="Arial" w:cs="Arial"/>
          <w:color w:val="000000"/>
          <w:sz w:val="24"/>
          <w:szCs w:val="24"/>
          <w:lang w:val="kk-KZ"/>
        </w:rPr>
      </w:pPr>
      <w:r w:rsidRPr="00300092">
        <w:rPr>
          <w:rFonts w:ascii="Arial" w:hAnsi="Arial" w:cs="Arial"/>
          <w:color w:val="000000"/>
          <w:sz w:val="24"/>
          <w:szCs w:val="24"/>
          <w:lang w:val="kk-KZ"/>
        </w:rPr>
        <w:t>1) при достижении по всем КПД не менее 85% в первых трех годах на 3 года;</w:t>
      </w:r>
    </w:p>
    <w:p w14:paraId="50F032D2" w14:textId="77777777" w:rsidR="00B92DB1" w:rsidRPr="00300092" w:rsidRDefault="00B92DB1" w:rsidP="00B92DB1">
      <w:pPr>
        <w:autoSpaceDE w:val="0"/>
        <w:autoSpaceDN w:val="0"/>
        <w:adjustRightInd w:val="0"/>
        <w:spacing w:after="0" w:line="240" w:lineRule="auto"/>
        <w:ind w:left="284"/>
        <w:jc w:val="both"/>
        <w:rPr>
          <w:rFonts w:ascii="Arial" w:hAnsi="Arial" w:cs="Arial"/>
          <w:color w:val="000000"/>
          <w:sz w:val="24"/>
          <w:szCs w:val="24"/>
          <w:lang w:val="kk-KZ"/>
        </w:rPr>
      </w:pPr>
      <w:r w:rsidRPr="00300092">
        <w:rPr>
          <w:rFonts w:ascii="Arial" w:hAnsi="Arial" w:cs="Arial"/>
          <w:color w:val="000000"/>
          <w:sz w:val="24"/>
          <w:szCs w:val="24"/>
          <w:lang w:val="kk-KZ"/>
        </w:rPr>
        <w:t xml:space="preserve">2) при достижении по всем КПД не менее 85% в четвертых, пятых и шестых годах на 1 год.  </w:t>
      </w:r>
    </w:p>
    <w:p w14:paraId="29DA8E0A" w14:textId="77777777" w:rsidR="00B92DB1" w:rsidRPr="00300092" w:rsidRDefault="00B92DB1" w:rsidP="00B92DB1">
      <w:pPr>
        <w:pStyle w:val="ab"/>
        <w:tabs>
          <w:tab w:val="left" w:pos="284"/>
        </w:tabs>
        <w:jc w:val="both"/>
        <w:rPr>
          <w:rStyle w:val="FontStyle14"/>
          <w:rFonts w:ascii="Arial" w:hAnsi="Arial" w:cs="Arial"/>
          <w:b w:val="0"/>
          <w:sz w:val="24"/>
          <w:szCs w:val="24"/>
          <w:lang w:val="ru-RU"/>
        </w:rPr>
      </w:pPr>
      <w:r w:rsidRPr="00300092">
        <w:rPr>
          <w:rFonts w:ascii="Arial" w:hAnsi="Arial" w:cs="Arial"/>
          <w:szCs w:val="24"/>
          <w:lang w:val="ru-RU" w:eastAsia="ru-RU" w:bidi="ar-SA"/>
        </w:rPr>
        <w:tab/>
      </w:r>
    </w:p>
    <w:p w14:paraId="4087D0C0" w14:textId="77777777" w:rsidR="00B92DB1" w:rsidRPr="00300092" w:rsidRDefault="00B92DB1" w:rsidP="00B92DB1">
      <w:pPr>
        <w:tabs>
          <w:tab w:val="left" w:pos="4962"/>
        </w:tabs>
        <w:rPr>
          <w:rFonts w:ascii="Arial" w:hAnsi="Arial" w:cs="Arial"/>
          <w:sz w:val="24"/>
          <w:szCs w:val="24"/>
        </w:rPr>
      </w:pPr>
      <w:r w:rsidRPr="00300092">
        <w:rPr>
          <w:rFonts w:ascii="Arial" w:hAnsi="Arial" w:cs="Arial"/>
          <w:sz w:val="24"/>
          <w:szCs w:val="24"/>
        </w:rPr>
        <w:t xml:space="preserve">   *При этом уровень КПД 3 со второго года оказания услуг в третьем квартале будет составлять 0 баллов</w:t>
      </w:r>
    </w:p>
    <w:tbl>
      <w:tblPr>
        <w:tblW w:w="15843" w:type="dxa"/>
        <w:tblInd w:w="250" w:type="dxa"/>
        <w:tblLook w:val="04A0" w:firstRow="1" w:lastRow="0" w:firstColumn="1" w:lastColumn="0" w:noHBand="0" w:noVBand="1"/>
      </w:tblPr>
      <w:tblGrid>
        <w:gridCol w:w="8046"/>
        <w:gridCol w:w="7797"/>
      </w:tblGrid>
      <w:tr w:rsidR="002644DE" w:rsidRPr="00170828" w14:paraId="181CF8BE" w14:textId="77777777" w:rsidTr="00300092">
        <w:tc>
          <w:tcPr>
            <w:tcW w:w="8046" w:type="dxa"/>
            <w:shd w:val="clear" w:color="auto" w:fill="auto"/>
          </w:tcPr>
          <w:p w14:paraId="6E4CF605" w14:textId="77777777" w:rsidR="002644DE" w:rsidRPr="00170828" w:rsidRDefault="002644DE" w:rsidP="00300092">
            <w:pPr>
              <w:pStyle w:val="Style4"/>
              <w:widowControl/>
              <w:tabs>
                <w:tab w:val="left" w:pos="3220"/>
                <w:tab w:val="left" w:pos="5387"/>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19872211" w14:textId="77777777" w:rsidR="002644DE" w:rsidRPr="00170828" w:rsidRDefault="002644DE" w:rsidP="00F751D5">
            <w:pPr>
              <w:pStyle w:val="Style4"/>
              <w:widowControl/>
              <w:tabs>
                <w:tab w:val="left" w:pos="5387"/>
              </w:tabs>
              <w:spacing w:line="259" w:lineRule="exact"/>
              <w:ind w:firstLine="0"/>
              <w:rPr>
                <w:rStyle w:val="FontStyle12"/>
                <w:rFonts w:ascii="Arial" w:hAnsi="Arial" w:cs="Arial"/>
                <w:b/>
                <w:sz w:val="24"/>
                <w:szCs w:val="24"/>
                <w:lang w:val="ru-RU"/>
              </w:rPr>
            </w:pPr>
          </w:p>
          <w:p w14:paraId="6B9D0DDE" w14:textId="77777777" w:rsidR="002644DE" w:rsidRPr="00170828" w:rsidRDefault="002644D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c>
          <w:tcPr>
            <w:tcW w:w="7797" w:type="dxa"/>
            <w:shd w:val="clear" w:color="auto" w:fill="auto"/>
          </w:tcPr>
          <w:p w14:paraId="0329FB88" w14:textId="77777777" w:rsidR="002644DE" w:rsidRPr="00170828" w:rsidRDefault="002644DE" w:rsidP="00F751D5">
            <w:pPr>
              <w:pStyle w:val="Style5"/>
              <w:widowControl/>
              <w:tabs>
                <w:tab w:val="left" w:pos="5387"/>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7CA349DF" w14:textId="77777777" w:rsidR="002644DE" w:rsidRPr="00170828" w:rsidRDefault="002644DE" w:rsidP="00F751D5">
            <w:pPr>
              <w:pStyle w:val="Style4"/>
              <w:widowControl/>
              <w:tabs>
                <w:tab w:val="left" w:pos="5387"/>
              </w:tabs>
              <w:spacing w:line="259" w:lineRule="exact"/>
              <w:ind w:firstLine="0"/>
              <w:rPr>
                <w:rStyle w:val="FontStyle15"/>
                <w:rFonts w:ascii="Arial" w:hAnsi="Arial" w:cs="Arial"/>
                <w:b/>
                <w:sz w:val="24"/>
                <w:szCs w:val="24"/>
                <w:lang w:val="ru-RU"/>
              </w:rPr>
            </w:pPr>
          </w:p>
          <w:p w14:paraId="283BC5B8" w14:textId="13FB4B4C" w:rsidR="002644DE" w:rsidRPr="00170828" w:rsidRDefault="002644DE" w:rsidP="00F751D5">
            <w:pPr>
              <w:pStyle w:val="Style4"/>
              <w:widowControl/>
              <w:pBdr>
                <w:bottom w:val="single" w:sz="12" w:space="1" w:color="auto"/>
              </w:pBdr>
              <w:tabs>
                <w:tab w:val="left" w:pos="5387"/>
              </w:tabs>
              <w:spacing w:line="259" w:lineRule="exact"/>
              <w:ind w:firstLine="0"/>
              <w:rPr>
                <w:rStyle w:val="FontStyle12"/>
                <w:rFonts w:ascii="Arial" w:hAnsi="Arial" w:cs="Arial"/>
                <w:b/>
                <w:sz w:val="24"/>
                <w:szCs w:val="24"/>
                <w:lang w:val="ru-RU"/>
              </w:rPr>
            </w:pPr>
          </w:p>
        </w:tc>
      </w:tr>
    </w:tbl>
    <w:p w14:paraId="72371C19" w14:textId="0A096FED" w:rsidR="00E752C6" w:rsidRPr="003849AB" w:rsidRDefault="00E752C6" w:rsidP="00F751D5">
      <w:pPr>
        <w:tabs>
          <w:tab w:val="left" w:pos="4962"/>
          <w:tab w:val="left" w:pos="5387"/>
        </w:tabs>
        <w:rPr>
          <w:rFonts w:ascii="Arial" w:hAnsi="Arial" w:cs="Arial"/>
          <w:sz w:val="28"/>
          <w:szCs w:val="28"/>
        </w:rPr>
      </w:pPr>
    </w:p>
    <w:sectPr w:rsidR="00E752C6" w:rsidRPr="003849AB" w:rsidSect="006778D3">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DE7D7" w14:textId="77777777" w:rsidR="006778D3" w:rsidRDefault="006778D3" w:rsidP="00306203">
      <w:pPr>
        <w:spacing w:after="0" w:line="240" w:lineRule="auto"/>
      </w:pPr>
      <w:r>
        <w:separator/>
      </w:r>
    </w:p>
  </w:endnote>
  <w:endnote w:type="continuationSeparator" w:id="0">
    <w:p w14:paraId="55CD9F67" w14:textId="77777777" w:rsidR="006778D3" w:rsidRDefault="006778D3" w:rsidP="00306203">
      <w:pPr>
        <w:spacing w:after="0" w:line="240" w:lineRule="auto"/>
      </w:pPr>
      <w:r>
        <w:continuationSeparator/>
      </w:r>
    </w:p>
  </w:endnote>
  <w:endnote w:type="continuationNotice" w:id="1">
    <w:p w14:paraId="76F67B67" w14:textId="77777777" w:rsidR="006778D3" w:rsidRDefault="006778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081EE" w14:textId="77777777" w:rsidR="006778D3" w:rsidRDefault="006778D3" w:rsidP="00306203">
      <w:pPr>
        <w:spacing w:after="0" w:line="240" w:lineRule="auto"/>
      </w:pPr>
      <w:r>
        <w:separator/>
      </w:r>
    </w:p>
  </w:footnote>
  <w:footnote w:type="continuationSeparator" w:id="0">
    <w:p w14:paraId="2DF24DEE" w14:textId="77777777" w:rsidR="006778D3" w:rsidRDefault="006778D3" w:rsidP="00306203">
      <w:pPr>
        <w:spacing w:after="0" w:line="240" w:lineRule="auto"/>
      </w:pPr>
      <w:r>
        <w:continuationSeparator/>
      </w:r>
    </w:p>
  </w:footnote>
  <w:footnote w:type="continuationNotice" w:id="1">
    <w:p w14:paraId="14123691" w14:textId="77777777" w:rsidR="006778D3" w:rsidRDefault="006778D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0092"/>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778D3"/>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C666E"/>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102"/>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2024-03-15T04:46:00Z</dcterms:modified>
</cp:coreProperties>
</file>